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1102FC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bookmarkStart w:id="0" w:name="_Hlk137025667"/>
            <w:r w:rsidRPr="001102FC">
              <w:rPr>
                <w:rFonts w:cstheme="minorHAnsi"/>
                <w:b/>
              </w:rPr>
              <w:t xml:space="preserve">Farm Details Week </w:t>
            </w:r>
            <w:r>
              <w:rPr>
                <w:rFonts w:cstheme="minorHAnsi"/>
                <w:b/>
              </w:rPr>
              <w:t>10</w:t>
            </w:r>
            <w:r w:rsidRPr="00A96C8A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>– 16</w:t>
            </w:r>
            <w:r w:rsidRPr="008737A6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  <w:vertAlign w:val="superscript"/>
              </w:rPr>
              <w:t xml:space="preserve"> </w:t>
            </w:r>
            <w:r>
              <w:rPr>
                <w:rFonts w:cstheme="minorHAnsi"/>
                <w:b/>
              </w:rPr>
              <w:t>July 2023</w:t>
            </w:r>
          </w:p>
        </w:tc>
      </w:tr>
      <w:tr w:rsidR="00A75DBA" w:rsidRPr="001102FC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707BD5">
              <w:rPr>
                <w:rFonts w:cstheme="minorHAnsi"/>
                <w:b/>
              </w:rPr>
              <w:t>3.27</w:t>
            </w:r>
          </w:p>
        </w:tc>
      </w:tr>
      <w:tr w:rsidR="00A75DBA" w:rsidRPr="001102FC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(DM/ha)</w:t>
            </w:r>
          </w:p>
        </w:tc>
        <w:tc>
          <w:tcPr>
            <w:tcW w:w="1537" w:type="dxa"/>
          </w:tcPr>
          <w:p w14:paraId="6C5C03E0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707BD5">
              <w:rPr>
                <w:rFonts w:cstheme="minorHAnsi"/>
                <w:b/>
              </w:rPr>
              <w:t>636</w:t>
            </w:r>
          </w:p>
        </w:tc>
      </w:tr>
      <w:tr w:rsidR="00A75DBA" w:rsidRPr="001102FC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(DM/ha/day)</w:t>
            </w:r>
          </w:p>
        </w:tc>
        <w:tc>
          <w:tcPr>
            <w:tcW w:w="1537" w:type="dxa"/>
          </w:tcPr>
          <w:p w14:paraId="467B799E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154BCD">
              <w:rPr>
                <w:rFonts w:cstheme="minorHAnsi"/>
                <w:b/>
              </w:rPr>
              <w:t>56</w:t>
            </w:r>
          </w:p>
        </w:tc>
      </w:tr>
      <w:tr w:rsidR="00A75DBA" w:rsidRPr="001102FC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Demand (DM/ha/day)</w:t>
            </w:r>
          </w:p>
        </w:tc>
        <w:tc>
          <w:tcPr>
            <w:tcW w:w="1537" w:type="dxa"/>
          </w:tcPr>
          <w:p w14:paraId="510C44BA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E943B9">
              <w:rPr>
                <w:rFonts w:cstheme="minorHAnsi"/>
                <w:b/>
              </w:rPr>
              <w:t>52</w:t>
            </w:r>
          </w:p>
        </w:tc>
      </w:tr>
      <w:tr w:rsidR="00A75DBA" w:rsidRPr="001102FC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6A118C">
              <w:rPr>
                <w:rFonts w:cstheme="minorHAnsi"/>
                <w:b/>
              </w:rPr>
              <w:t>18</w:t>
            </w:r>
          </w:p>
        </w:tc>
      </w:tr>
      <w:tr w:rsidR="00A75DBA" w:rsidRPr="001102FC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  <w:lang w:val="it-IT"/>
              </w:rPr>
            </w:pPr>
            <w:r w:rsidRPr="00A50DC7">
              <w:rPr>
                <w:rFonts w:cstheme="minorHAnsi"/>
                <w:b/>
                <w:lang w:val="it-IT"/>
              </w:rPr>
              <w:t>3.6</w:t>
            </w:r>
          </w:p>
        </w:tc>
      </w:tr>
      <w:tr w:rsidR="00A75DBA" w:rsidRPr="001102FC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77777777" w:rsidR="00A75DBA" w:rsidRPr="00E854FD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854F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54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1102FC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 Details Week </w:t>
            </w:r>
            <w:r>
              <w:rPr>
                <w:rFonts w:cstheme="minorHAnsi"/>
                <w:b/>
              </w:rPr>
              <w:t>19</w:t>
            </w:r>
            <w:r w:rsidRPr="000D1C0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- 25</w:t>
            </w:r>
            <w:r w:rsidRPr="001C205F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June 2023</w:t>
            </w:r>
          </w:p>
        </w:tc>
      </w:tr>
      <w:tr w:rsidR="006F11EA" w:rsidRPr="001102FC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77777777" w:rsidR="006F11EA" w:rsidRPr="00592A72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6A118C">
              <w:rPr>
                <w:rFonts w:cstheme="minorHAnsi"/>
                <w:b/>
              </w:rPr>
              <w:t>25.3</w:t>
            </w:r>
          </w:p>
        </w:tc>
      </w:tr>
      <w:tr w:rsidR="006F11EA" w:rsidRPr="001102FC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77777777" w:rsidR="006F11EA" w:rsidRPr="00B63FD4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B63FD4">
              <w:rPr>
                <w:rFonts w:cstheme="minorHAnsi"/>
                <w:b/>
              </w:rPr>
              <w:t>4.35</w:t>
            </w:r>
          </w:p>
        </w:tc>
      </w:tr>
      <w:tr w:rsidR="006F11EA" w:rsidRPr="001102FC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77777777" w:rsidR="006F11EA" w:rsidRPr="00B63FD4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B63FD4">
              <w:rPr>
                <w:rFonts w:cstheme="minorHAnsi"/>
                <w:b/>
              </w:rPr>
              <w:t>3.54</w:t>
            </w:r>
          </w:p>
        </w:tc>
      </w:tr>
      <w:tr w:rsidR="006F11EA" w:rsidRPr="001102FC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77777777" w:rsidR="006F11EA" w:rsidRPr="00592A72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CF7259">
              <w:rPr>
                <w:rFonts w:cstheme="minorHAnsi"/>
                <w:b/>
              </w:rPr>
              <w:t>1.993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77777777" w:rsidR="006F11EA" w:rsidRPr="00592A72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6225FB">
              <w:rPr>
                <w:rFonts w:cstheme="minorHAnsi"/>
                <w:b/>
              </w:rPr>
              <w:t>139,000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1B1C4A28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3E2FD109" w14:textId="35C9D5D0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4B5CB722" w14:textId="77777777" w:rsidR="004C09B7" w:rsidRDefault="002304F6" w:rsidP="009A37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Grass growth is</w:t>
      </w:r>
      <w:r w:rsidR="003272CD">
        <w:rPr>
          <w:rFonts w:cstheme="minorHAnsi"/>
          <w:sz w:val="24"/>
          <w:szCs w:val="24"/>
        </w:rPr>
        <w:t xml:space="preserve"> picking up with </w:t>
      </w:r>
      <w:r w:rsidR="00C66ACE">
        <w:rPr>
          <w:rFonts w:cstheme="minorHAnsi"/>
          <w:sz w:val="24"/>
          <w:szCs w:val="24"/>
        </w:rPr>
        <w:t>the July round of fertiliser gone out on the 1</w:t>
      </w:r>
      <w:r w:rsidR="00B86B9E">
        <w:rPr>
          <w:rFonts w:cstheme="minorHAnsi"/>
          <w:sz w:val="24"/>
          <w:szCs w:val="24"/>
        </w:rPr>
        <w:t>0</w:t>
      </w:r>
      <w:r w:rsidR="00C66ACE" w:rsidRPr="00C66ACE">
        <w:rPr>
          <w:rFonts w:cstheme="minorHAnsi"/>
          <w:sz w:val="24"/>
          <w:szCs w:val="24"/>
          <w:vertAlign w:val="superscript"/>
        </w:rPr>
        <w:t>th</w:t>
      </w:r>
      <w:r w:rsidR="000B2B40">
        <w:rPr>
          <w:rFonts w:cstheme="minorHAnsi"/>
          <w:sz w:val="24"/>
          <w:szCs w:val="24"/>
        </w:rPr>
        <w:t xml:space="preserve"> July</w:t>
      </w:r>
      <w:r w:rsidR="00B86B9E">
        <w:rPr>
          <w:rFonts w:cstheme="minorHAnsi"/>
          <w:sz w:val="24"/>
          <w:szCs w:val="24"/>
        </w:rPr>
        <w:t xml:space="preserve">. </w:t>
      </w:r>
    </w:p>
    <w:p w14:paraId="40621380" w14:textId="283BAC1A" w:rsidR="0010477F" w:rsidRDefault="00316C08" w:rsidP="009A37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A705C">
        <w:rPr>
          <w:rFonts w:cstheme="minorHAnsi"/>
          <w:sz w:val="24"/>
          <w:szCs w:val="24"/>
        </w:rPr>
        <w:t>rass quality is currently ex</w:t>
      </w:r>
      <w:r w:rsidR="00801D6D">
        <w:rPr>
          <w:rFonts w:cstheme="minorHAnsi"/>
          <w:sz w:val="24"/>
          <w:szCs w:val="24"/>
        </w:rPr>
        <w:t>cellent</w:t>
      </w:r>
      <w:r w:rsidR="00FC1BBF">
        <w:rPr>
          <w:rFonts w:cstheme="minorHAnsi"/>
          <w:sz w:val="24"/>
          <w:szCs w:val="24"/>
        </w:rPr>
        <w:t>. L</w:t>
      </w:r>
      <w:r w:rsidR="00FC1BBF">
        <w:rPr>
          <w:rFonts w:cstheme="minorHAnsi"/>
          <w:sz w:val="24"/>
          <w:szCs w:val="24"/>
        </w:rPr>
        <w:t>owering demand but the introduction of silage to the diet</w:t>
      </w:r>
      <w:r w:rsidR="00FC1BBF">
        <w:rPr>
          <w:rFonts w:cstheme="minorHAnsi"/>
          <w:sz w:val="24"/>
          <w:szCs w:val="24"/>
        </w:rPr>
        <w:t xml:space="preserve"> has allowed</w:t>
      </w:r>
      <w:r w:rsidR="00A84A9B">
        <w:rPr>
          <w:rFonts w:cstheme="minorHAnsi"/>
          <w:sz w:val="24"/>
          <w:szCs w:val="24"/>
        </w:rPr>
        <w:t xml:space="preserve"> </w:t>
      </w:r>
      <w:r w:rsidR="00FC1BBF">
        <w:rPr>
          <w:rFonts w:cstheme="minorHAnsi"/>
          <w:sz w:val="24"/>
          <w:szCs w:val="24"/>
        </w:rPr>
        <w:t xml:space="preserve"> </w:t>
      </w:r>
      <w:r w:rsidR="00A84A9B">
        <w:rPr>
          <w:rFonts w:cstheme="minorHAnsi"/>
          <w:sz w:val="24"/>
          <w:szCs w:val="24"/>
        </w:rPr>
        <w:t xml:space="preserve">AFC to build </w:t>
      </w:r>
      <w:r w:rsidR="00223901">
        <w:rPr>
          <w:rFonts w:cstheme="minorHAnsi"/>
          <w:sz w:val="24"/>
          <w:szCs w:val="24"/>
        </w:rPr>
        <w:t>back</w:t>
      </w:r>
      <w:r w:rsidR="00A84A9B">
        <w:rPr>
          <w:rFonts w:cstheme="minorHAnsi"/>
          <w:sz w:val="24"/>
          <w:szCs w:val="24"/>
        </w:rPr>
        <w:t xml:space="preserve"> </w:t>
      </w:r>
      <w:r w:rsidR="00223901">
        <w:rPr>
          <w:rFonts w:cstheme="minorHAnsi"/>
          <w:sz w:val="24"/>
          <w:szCs w:val="24"/>
        </w:rPr>
        <w:t xml:space="preserve">to a respectable </w:t>
      </w:r>
      <w:r w:rsidR="0067530D">
        <w:rPr>
          <w:rFonts w:cstheme="minorHAnsi"/>
          <w:sz w:val="24"/>
          <w:szCs w:val="24"/>
        </w:rPr>
        <w:t>636</w:t>
      </w:r>
      <w:r w:rsidR="00A84A9B">
        <w:rPr>
          <w:rFonts w:cstheme="minorHAnsi"/>
          <w:sz w:val="24"/>
          <w:szCs w:val="24"/>
        </w:rPr>
        <w:t xml:space="preserve"> kg</w:t>
      </w:r>
      <w:r w:rsidR="003B4E47">
        <w:rPr>
          <w:rFonts w:cstheme="minorHAnsi"/>
          <w:sz w:val="24"/>
          <w:szCs w:val="24"/>
        </w:rPr>
        <w:t xml:space="preserve"> DM/ha. However, demand is </w:t>
      </w:r>
      <w:r w:rsidR="003B69D0">
        <w:rPr>
          <w:rFonts w:cstheme="minorHAnsi"/>
          <w:sz w:val="24"/>
          <w:szCs w:val="24"/>
        </w:rPr>
        <w:t>now floating just below growth, therefore a tight eye on growth levels is needed to en</w:t>
      </w:r>
      <w:r w:rsidR="00BE7FDD">
        <w:rPr>
          <w:rFonts w:cstheme="minorHAnsi"/>
          <w:sz w:val="24"/>
          <w:szCs w:val="24"/>
        </w:rPr>
        <w:t>sure grass availability as we look at the autumn and building covers.</w:t>
      </w:r>
    </w:p>
    <w:p w14:paraId="080FEE78" w14:textId="5E0C3B31" w:rsidR="00CD068B" w:rsidRPr="00736622" w:rsidRDefault="00CD068B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4A3C956" w14:textId="2D124912" w:rsidR="000E38DC" w:rsidRPr="00064078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-76"/>
        <w:tblW w:w="0" w:type="auto"/>
        <w:tblLook w:val="04A0" w:firstRow="1" w:lastRow="0" w:firstColumn="1" w:lastColumn="0" w:noHBand="0" w:noVBand="1"/>
      </w:tblPr>
      <w:tblGrid>
        <w:gridCol w:w="1459"/>
        <w:gridCol w:w="1963"/>
        <w:gridCol w:w="2040"/>
      </w:tblGrid>
      <w:tr w:rsidR="00A75DBA" w:rsidRPr="00A634C8" w14:paraId="2746B810" w14:textId="77777777" w:rsidTr="00A75DBA">
        <w:trPr>
          <w:trHeight w:val="274"/>
        </w:trPr>
        <w:tc>
          <w:tcPr>
            <w:tcW w:w="0" w:type="auto"/>
            <w:hideMark/>
          </w:tcPr>
          <w:p w14:paraId="05261C4E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bookmarkStart w:id="1" w:name="_Hlk137025936"/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Parity </w:t>
            </w:r>
          </w:p>
        </w:tc>
        <w:tc>
          <w:tcPr>
            <w:tcW w:w="0" w:type="auto"/>
            <w:hideMark/>
          </w:tcPr>
          <w:p w14:paraId="22188F37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Number of animals </w:t>
            </w:r>
          </w:p>
        </w:tc>
        <w:tc>
          <w:tcPr>
            <w:tcW w:w="0" w:type="auto"/>
            <w:hideMark/>
          </w:tcPr>
          <w:p w14:paraId="233AF145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Average weight (kg) </w:t>
            </w:r>
          </w:p>
        </w:tc>
      </w:tr>
      <w:tr w:rsidR="00A75DBA" w:rsidRPr="00A634C8" w14:paraId="137C1253" w14:textId="77777777" w:rsidTr="00A75DBA">
        <w:trPr>
          <w:trHeight w:val="300"/>
        </w:trPr>
        <w:tc>
          <w:tcPr>
            <w:tcW w:w="0" w:type="auto"/>
            <w:hideMark/>
          </w:tcPr>
          <w:p w14:paraId="5F10090A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1st Lactation</w:t>
            </w:r>
          </w:p>
        </w:tc>
        <w:tc>
          <w:tcPr>
            <w:tcW w:w="0" w:type="auto"/>
            <w:hideMark/>
          </w:tcPr>
          <w:p w14:paraId="0537AC90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10</w:t>
            </w:r>
          </w:p>
        </w:tc>
        <w:tc>
          <w:tcPr>
            <w:tcW w:w="0" w:type="auto"/>
            <w:hideMark/>
          </w:tcPr>
          <w:p w14:paraId="43E3C151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508</w:t>
            </w:r>
          </w:p>
        </w:tc>
      </w:tr>
      <w:tr w:rsidR="00A75DBA" w:rsidRPr="00A634C8" w14:paraId="031DEF1B" w14:textId="77777777" w:rsidTr="00A75DBA">
        <w:trPr>
          <w:trHeight w:val="300"/>
        </w:trPr>
        <w:tc>
          <w:tcPr>
            <w:tcW w:w="0" w:type="auto"/>
            <w:hideMark/>
          </w:tcPr>
          <w:p w14:paraId="19D7C216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2nd Lactation</w:t>
            </w:r>
          </w:p>
        </w:tc>
        <w:tc>
          <w:tcPr>
            <w:tcW w:w="0" w:type="auto"/>
            <w:hideMark/>
          </w:tcPr>
          <w:p w14:paraId="053D87DC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9</w:t>
            </w:r>
          </w:p>
        </w:tc>
        <w:tc>
          <w:tcPr>
            <w:tcW w:w="0" w:type="auto"/>
            <w:hideMark/>
          </w:tcPr>
          <w:p w14:paraId="2491A970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554</w:t>
            </w:r>
          </w:p>
        </w:tc>
      </w:tr>
      <w:tr w:rsidR="00A75DBA" w:rsidRPr="00A634C8" w14:paraId="2FDFFAEB" w14:textId="77777777" w:rsidTr="00A75DBA">
        <w:trPr>
          <w:trHeight w:val="300"/>
        </w:trPr>
        <w:tc>
          <w:tcPr>
            <w:tcW w:w="0" w:type="auto"/>
            <w:hideMark/>
          </w:tcPr>
          <w:p w14:paraId="2E6A81E0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3rd Lactation</w:t>
            </w:r>
          </w:p>
        </w:tc>
        <w:tc>
          <w:tcPr>
            <w:tcW w:w="0" w:type="auto"/>
            <w:hideMark/>
          </w:tcPr>
          <w:p w14:paraId="47054884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12</w:t>
            </w:r>
          </w:p>
        </w:tc>
        <w:tc>
          <w:tcPr>
            <w:tcW w:w="0" w:type="auto"/>
            <w:hideMark/>
          </w:tcPr>
          <w:p w14:paraId="30BBCE24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585</w:t>
            </w:r>
          </w:p>
        </w:tc>
      </w:tr>
      <w:tr w:rsidR="00A75DBA" w:rsidRPr="00A634C8" w14:paraId="7D8C0282" w14:textId="77777777" w:rsidTr="00A75DBA">
        <w:trPr>
          <w:trHeight w:val="300"/>
        </w:trPr>
        <w:tc>
          <w:tcPr>
            <w:tcW w:w="0" w:type="auto"/>
            <w:hideMark/>
          </w:tcPr>
          <w:p w14:paraId="3EA9D9EB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4th Lactation</w:t>
            </w:r>
          </w:p>
        </w:tc>
        <w:tc>
          <w:tcPr>
            <w:tcW w:w="0" w:type="auto"/>
            <w:hideMark/>
          </w:tcPr>
          <w:p w14:paraId="1519F054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10</w:t>
            </w:r>
          </w:p>
        </w:tc>
        <w:tc>
          <w:tcPr>
            <w:tcW w:w="0" w:type="auto"/>
            <w:hideMark/>
          </w:tcPr>
          <w:p w14:paraId="1F2585D5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638</w:t>
            </w:r>
          </w:p>
        </w:tc>
      </w:tr>
      <w:tr w:rsidR="00A75DBA" w:rsidRPr="00A634C8" w14:paraId="3EAF0222" w14:textId="77777777" w:rsidTr="00A75DBA">
        <w:trPr>
          <w:trHeight w:val="300"/>
        </w:trPr>
        <w:tc>
          <w:tcPr>
            <w:tcW w:w="0" w:type="auto"/>
            <w:hideMark/>
          </w:tcPr>
          <w:p w14:paraId="7F493606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5th Lactation</w:t>
            </w:r>
          </w:p>
        </w:tc>
        <w:tc>
          <w:tcPr>
            <w:tcW w:w="0" w:type="auto"/>
            <w:hideMark/>
          </w:tcPr>
          <w:p w14:paraId="36AA8DAD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6</w:t>
            </w:r>
          </w:p>
        </w:tc>
        <w:tc>
          <w:tcPr>
            <w:tcW w:w="0" w:type="auto"/>
            <w:hideMark/>
          </w:tcPr>
          <w:p w14:paraId="4809E550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642</w:t>
            </w:r>
          </w:p>
        </w:tc>
      </w:tr>
      <w:tr w:rsidR="00A75DBA" w:rsidRPr="00A634C8" w14:paraId="5366EBE0" w14:textId="77777777" w:rsidTr="00A75DBA">
        <w:trPr>
          <w:trHeight w:val="300"/>
        </w:trPr>
        <w:tc>
          <w:tcPr>
            <w:tcW w:w="0" w:type="auto"/>
            <w:hideMark/>
          </w:tcPr>
          <w:p w14:paraId="5AF1A48C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6th Lactation</w:t>
            </w:r>
          </w:p>
        </w:tc>
        <w:tc>
          <w:tcPr>
            <w:tcW w:w="0" w:type="auto"/>
            <w:hideMark/>
          </w:tcPr>
          <w:p w14:paraId="034272AB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5</w:t>
            </w:r>
          </w:p>
        </w:tc>
        <w:tc>
          <w:tcPr>
            <w:tcW w:w="0" w:type="auto"/>
            <w:hideMark/>
          </w:tcPr>
          <w:p w14:paraId="2735BB80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644</w:t>
            </w:r>
          </w:p>
        </w:tc>
      </w:tr>
      <w:tr w:rsidR="00A75DBA" w:rsidRPr="00A634C8" w14:paraId="61ABB484" w14:textId="77777777" w:rsidTr="00A75DBA">
        <w:trPr>
          <w:trHeight w:val="300"/>
        </w:trPr>
        <w:tc>
          <w:tcPr>
            <w:tcW w:w="0" w:type="auto"/>
            <w:hideMark/>
          </w:tcPr>
          <w:p w14:paraId="2E73E112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7th Lactation</w:t>
            </w:r>
          </w:p>
        </w:tc>
        <w:tc>
          <w:tcPr>
            <w:tcW w:w="0" w:type="auto"/>
            <w:hideMark/>
          </w:tcPr>
          <w:p w14:paraId="2E8E2A36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2</w:t>
            </w:r>
          </w:p>
        </w:tc>
        <w:tc>
          <w:tcPr>
            <w:tcW w:w="0" w:type="auto"/>
            <w:hideMark/>
          </w:tcPr>
          <w:p w14:paraId="1EF615B6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640</w:t>
            </w:r>
          </w:p>
        </w:tc>
      </w:tr>
      <w:tr w:rsidR="00A75DBA" w:rsidRPr="00A634C8" w14:paraId="3D03C277" w14:textId="77777777" w:rsidTr="00A75DBA">
        <w:trPr>
          <w:trHeight w:val="300"/>
        </w:trPr>
        <w:tc>
          <w:tcPr>
            <w:tcW w:w="0" w:type="auto"/>
            <w:hideMark/>
          </w:tcPr>
          <w:p w14:paraId="13391E26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>8th Lactation</w:t>
            </w:r>
          </w:p>
        </w:tc>
        <w:tc>
          <w:tcPr>
            <w:tcW w:w="0" w:type="auto"/>
            <w:hideMark/>
          </w:tcPr>
          <w:p w14:paraId="11464464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3</w:t>
            </w:r>
          </w:p>
        </w:tc>
        <w:tc>
          <w:tcPr>
            <w:tcW w:w="0" w:type="auto"/>
            <w:hideMark/>
          </w:tcPr>
          <w:p w14:paraId="4FBA66BA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603</w:t>
            </w:r>
          </w:p>
        </w:tc>
      </w:tr>
      <w:tr w:rsidR="00A75DBA" w:rsidRPr="00A634C8" w14:paraId="39CDD438" w14:textId="77777777" w:rsidTr="00A75DBA">
        <w:trPr>
          <w:trHeight w:val="300"/>
        </w:trPr>
        <w:tc>
          <w:tcPr>
            <w:tcW w:w="0" w:type="auto"/>
            <w:hideMark/>
          </w:tcPr>
          <w:p w14:paraId="5448215A" w14:textId="77777777" w:rsidR="00A75DBA" w:rsidRPr="002B0D6E" w:rsidRDefault="00A75DBA" w:rsidP="00A75DBA">
            <w:pPr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2B0D6E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Total </w:t>
            </w:r>
          </w:p>
        </w:tc>
        <w:tc>
          <w:tcPr>
            <w:tcW w:w="0" w:type="auto"/>
            <w:hideMark/>
          </w:tcPr>
          <w:p w14:paraId="6E345687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634C8">
              <w:rPr>
                <w:rFonts w:ascii="Calibri" w:eastAsia="Times New Roman" w:hAnsi="Calibri" w:cs="Calibri"/>
                <w:lang w:eastAsia="en-IE"/>
              </w:rPr>
              <w:t>57</w:t>
            </w:r>
          </w:p>
        </w:tc>
        <w:tc>
          <w:tcPr>
            <w:tcW w:w="0" w:type="auto"/>
            <w:hideMark/>
          </w:tcPr>
          <w:p w14:paraId="68E87B44" w14:textId="77777777" w:rsidR="00A75DBA" w:rsidRPr="00A634C8" w:rsidRDefault="00A75DBA" w:rsidP="00A75DBA">
            <w:pPr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590</w:t>
            </w:r>
          </w:p>
        </w:tc>
      </w:tr>
    </w:tbl>
    <w:p w14:paraId="5D95AE6B" w14:textId="4B09DFCD" w:rsidR="00F51A29" w:rsidRDefault="00A379AF" w:rsidP="00767574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>Cows were weighed and body condition scored on the 20</w:t>
      </w:r>
      <w:r w:rsidRPr="00A379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 w:rsidR="00EF0FA5">
        <w:rPr>
          <w:sz w:val="24"/>
          <w:szCs w:val="24"/>
        </w:rPr>
        <w:t xml:space="preserve">. 98% </w:t>
      </w:r>
      <w:r w:rsidR="006F0175">
        <w:rPr>
          <w:sz w:val="24"/>
          <w:szCs w:val="24"/>
        </w:rPr>
        <w:t>(51/57)of the herd were within target</w:t>
      </w:r>
      <w:r w:rsidR="00F200A2">
        <w:rPr>
          <w:sz w:val="24"/>
          <w:szCs w:val="24"/>
        </w:rPr>
        <w:t xml:space="preserve"> </w:t>
      </w:r>
      <w:r w:rsidR="006F0175">
        <w:rPr>
          <w:sz w:val="24"/>
          <w:szCs w:val="24"/>
        </w:rPr>
        <w:t>BCS (2.75 -</w:t>
      </w:r>
      <w:r w:rsidR="006A55FC">
        <w:rPr>
          <w:sz w:val="24"/>
          <w:szCs w:val="24"/>
        </w:rPr>
        <w:t>3.25) with 3 cows scoring 2.5 and 3 cows scoring 3.5 for BCS.</w:t>
      </w:r>
      <w:r w:rsidR="00DB7345">
        <w:rPr>
          <w:sz w:val="24"/>
          <w:szCs w:val="24"/>
        </w:rPr>
        <w:t xml:space="preserve"> </w:t>
      </w:r>
      <w:r w:rsidR="00357668">
        <w:rPr>
          <w:sz w:val="24"/>
          <w:szCs w:val="24"/>
        </w:rPr>
        <w:t>Cows are in ideal condition for this stage in lactation</w:t>
      </w:r>
      <w:r w:rsidR="0078326D">
        <w:rPr>
          <w:sz w:val="24"/>
          <w:szCs w:val="24"/>
        </w:rPr>
        <w:t>. Body condition scoring cows regularly allows us to forward plan for dry off later in the year</w:t>
      </w:r>
      <w:r w:rsidR="001310F6">
        <w:rPr>
          <w:sz w:val="24"/>
          <w:szCs w:val="24"/>
        </w:rPr>
        <w:t xml:space="preserve">, paying particular attention to any cows following outside the optimum range </w:t>
      </w:r>
      <w:r w:rsidR="006A55FC">
        <w:rPr>
          <w:sz w:val="24"/>
          <w:szCs w:val="24"/>
        </w:rPr>
        <w:t xml:space="preserve"> </w:t>
      </w:r>
      <w:r w:rsidR="001310F6">
        <w:rPr>
          <w:sz w:val="24"/>
          <w:szCs w:val="24"/>
        </w:rPr>
        <w:t>of 2.75 – 3.25 BCS</w:t>
      </w:r>
      <w:r w:rsidR="00144E79">
        <w:rPr>
          <w:sz w:val="24"/>
          <w:szCs w:val="24"/>
        </w:rPr>
        <w:t xml:space="preserve">. </w:t>
      </w:r>
      <w:r w:rsidR="00430012">
        <w:rPr>
          <w:sz w:val="24"/>
          <w:szCs w:val="24"/>
        </w:rPr>
        <w:t xml:space="preserve">The average weight of the herd was </w:t>
      </w:r>
      <w:r w:rsidR="00F51A29">
        <w:rPr>
          <w:sz w:val="24"/>
          <w:szCs w:val="24"/>
        </w:rPr>
        <w:t>590 kg</w:t>
      </w:r>
      <w:r w:rsidR="00775559">
        <w:rPr>
          <w:sz w:val="24"/>
          <w:szCs w:val="24"/>
        </w:rPr>
        <w:t xml:space="preserve">. </w:t>
      </w:r>
    </w:p>
    <w:p w14:paraId="1010630C" w14:textId="77777777" w:rsidR="00F51A29" w:rsidRDefault="00F51A29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759F5A58" w14:textId="77777777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bookmarkEnd w:id="1"/>
    <w:sectPr w:rsidR="008833FA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6D50" w14:textId="77777777" w:rsidR="00F2707A" w:rsidRDefault="00F2707A" w:rsidP="00245E54">
      <w:pPr>
        <w:spacing w:after="0" w:line="240" w:lineRule="auto"/>
      </w:pPr>
      <w:r>
        <w:separator/>
      </w:r>
    </w:p>
  </w:endnote>
  <w:endnote w:type="continuationSeparator" w:id="0">
    <w:p w14:paraId="12394A8A" w14:textId="77777777" w:rsidR="00F2707A" w:rsidRDefault="00F2707A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0BB6" w14:textId="77777777" w:rsidR="00F2707A" w:rsidRDefault="00F2707A" w:rsidP="00245E54">
      <w:pPr>
        <w:spacing w:after="0" w:line="240" w:lineRule="auto"/>
      </w:pPr>
      <w:r>
        <w:separator/>
      </w:r>
    </w:p>
  </w:footnote>
  <w:footnote w:type="continuationSeparator" w:id="0">
    <w:p w14:paraId="0E02CDFA" w14:textId="77777777" w:rsidR="00F2707A" w:rsidRDefault="00F2707A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A7CB2"/>
    <w:rsid w:val="001B0DD8"/>
    <w:rsid w:val="001B1E0C"/>
    <w:rsid w:val="001B3CD3"/>
    <w:rsid w:val="001B44F5"/>
    <w:rsid w:val="001B543D"/>
    <w:rsid w:val="001B7371"/>
    <w:rsid w:val="001B761B"/>
    <w:rsid w:val="001C205F"/>
    <w:rsid w:val="001C35EB"/>
    <w:rsid w:val="001C4BA9"/>
    <w:rsid w:val="001C5230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076"/>
    <w:rsid w:val="001F734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3901"/>
    <w:rsid w:val="00224393"/>
    <w:rsid w:val="0022470F"/>
    <w:rsid w:val="00226041"/>
    <w:rsid w:val="00226A0D"/>
    <w:rsid w:val="002304F6"/>
    <w:rsid w:val="002320DB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6A61"/>
    <w:rsid w:val="003272CD"/>
    <w:rsid w:val="0032749F"/>
    <w:rsid w:val="0032763D"/>
    <w:rsid w:val="003300F7"/>
    <w:rsid w:val="00331C09"/>
    <w:rsid w:val="00332A74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7267"/>
    <w:rsid w:val="003508F8"/>
    <w:rsid w:val="00351017"/>
    <w:rsid w:val="00351582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80B1D"/>
    <w:rsid w:val="003814C2"/>
    <w:rsid w:val="00381845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0F5C"/>
    <w:rsid w:val="005C14E4"/>
    <w:rsid w:val="005C21CF"/>
    <w:rsid w:val="005C289D"/>
    <w:rsid w:val="005C58B3"/>
    <w:rsid w:val="005D0116"/>
    <w:rsid w:val="005D1605"/>
    <w:rsid w:val="005D1B6F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326"/>
    <w:rsid w:val="0061591E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C7B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C068F"/>
    <w:rsid w:val="008C1DDF"/>
    <w:rsid w:val="008C2663"/>
    <w:rsid w:val="008C493F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72C5"/>
    <w:rsid w:val="00B61AAC"/>
    <w:rsid w:val="00B63414"/>
    <w:rsid w:val="00B63FC2"/>
    <w:rsid w:val="00B63FD4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52F3"/>
    <w:rsid w:val="00BE5469"/>
    <w:rsid w:val="00BE5B73"/>
    <w:rsid w:val="00BE7FDD"/>
    <w:rsid w:val="00BF012E"/>
    <w:rsid w:val="00BF07BC"/>
    <w:rsid w:val="00BF11F9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03968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6ACE"/>
    <w:rsid w:val="00C66DBA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31E8"/>
    <w:rsid w:val="00EA3C5F"/>
    <w:rsid w:val="00EA3D61"/>
    <w:rsid w:val="00EA521B"/>
    <w:rsid w:val="00EA7EE2"/>
    <w:rsid w:val="00EB15EF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1A29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2023-07-25T16:11:00Z</dcterms:created>
  <dcterms:modified xsi:type="dcterms:W3CDTF">2023-07-25T16:11:00Z</dcterms:modified>
</cp:coreProperties>
</file>